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fill="FFFFFF"/>
        <w:bidi w:val="0"/>
        <w:spacing w:lineRule="atLeast" w:line="311" w:before="150" w:after="120"/>
        <w:ind w:start="0" w:end="0" w:hanging="0"/>
        <w:jc w:val="end"/>
        <w:rPr>
          <w:color w:val="C9211E"/>
        </w:rPr>
      </w:pPr>
      <w:r>
        <w:rPr>
          <w:rFonts w:eastAsia="Times New Roman" w:cs="Helvetica"/>
          <w:color w:val="C9211E"/>
          <w:u w:val="single"/>
          <w:lang w:eastAsia="pl-PL"/>
        </w:rPr>
        <w:t>5/DDS/2026</w:t>
      </w:r>
    </w:p>
    <w:p>
      <w:pPr>
        <w:pStyle w:val="Normal"/>
        <w:shd w:fill="FFFFFF"/>
        <w:bidi w:val="0"/>
        <w:spacing w:lineRule="atLeast" w:line="311" w:before="150" w:after="120"/>
        <w:ind w:start="0" w:end="0" w:hanging="0"/>
        <w:jc w:val="both"/>
        <w:rPr/>
      </w:pPr>
      <w:r>
        <w:rPr>
          <w:rFonts w:eastAsia="Times New Roman" w:cs="Helvetica"/>
          <w:u w:val="single"/>
          <w:lang w:eastAsia="pl-PL"/>
        </w:rPr>
        <w:t>Nazwa i adres zamawiającego</w:t>
      </w:r>
    </w:p>
    <w:tbl>
      <w:tblPr>
        <w:tblW w:w="8715" w:type="dxa"/>
        <w:jc w:val="start"/>
        <w:tblInd w:w="494" w:type="dxa"/>
        <w:tblLayout w:type="fixed"/>
        <w:tblCellMar>
          <w:top w:w="0" w:type="dxa"/>
          <w:start w:w="10" w:type="dxa"/>
          <w:bottom w:w="0" w:type="dxa"/>
          <w:end w:w="10" w:type="dxa"/>
        </w:tblCellMar>
      </w:tblPr>
      <w:tblGrid>
        <w:gridCol w:w="2927"/>
        <w:gridCol w:w="5787"/>
      </w:tblGrid>
      <w:tr>
        <w:trPr>
          <w:trHeight w:val="882" w:hRule="atLeast"/>
        </w:trPr>
        <w:tc>
          <w:tcPr>
            <w:tcW w:w="2927" w:type="dxa"/>
            <w:tcBorders>
              <w:top w:val="single" w:sz="8" w:space="0" w:color="00000A"/>
              <w:start w:val="single" w:sz="8" w:space="0" w:color="00000A"/>
              <w:bottom w:val="single" w:sz="8" w:space="0" w:color="00000A"/>
              <w:end w:val="single" w:sz="8" w:space="0" w:color="00000A"/>
            </w:tcBorders>
            <w:shd w:color="auto" w:fill="FFFFFF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311" w:before="120" w:after="150"/>
              <w:jc w:val="start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Zamawiający:</w:t>
            </w:r>
          </w:p>
        </w:tc>
        <w:tc>
          <w:tcPr>
            <w:tcW w:w="5787" w:type="dxa"/>
            <w:tcBorders>
              <w:top w:val="single" w:sz="8" w:space="0" w:color="00000A"/>
              <w:bottom w:val="single" w:sz="8" w:space="0" w:color="00000A"/>
              <w:end w:val="single" w:sz="8" w:space="0" w:color="00000A"/>
            </w:tcBorders>
            <w:shd w:color="auto" w:fill="FFFFFF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Centrum Usług Społecznych w Starachowicach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Dział: Dzienny Dom Senior+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ul. Al. Armii Krajowej 28 Ip., 27-200 Starachowice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Godziny pracy: od poniedziałku do piątku w godzinach od 8:00 do 16:00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40" w:before="0" w:after="150"/>
              <w:jc w:val="center"/>
              <w:rPr>
                <w:lang w:val="en-US"/>
              </w:rPr>
            </w:pPr>
            <w:r>
              <w:rPr>
                <w:rFonts w:eastAsia="Times New Roman" w:cs="Times New Roman"/>
                <w:b/>
                <w:bCs/>
                <w:lang w:val="en-US" w:eastAsia="pl-PL"/>
              </w:rPr>
              <w:t>Nr tel. 668-216-211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40" w:before="0" w:after="150"/>
              <w:jc w:val="center"/>
              <w:rPr>
                <w:lang w:val="en-US"/>
              </w:rPr>
            </w:pPr>
            <w:r>
              <w:rPr>
                <w:rFonts w:eastAsia="Times New Roman" w:cs="Times New Roman"/>
                <w:b/>
                <w:bCs/>
                <w:lang w:val="en-US" w:eastAsia="pl-PL"/>
              </w:rPr>
              <w:t>Adres WWW: cus.starachowice.eu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311" w:before="0" w:after="150"/>
              <w:jc w:val="center"/>
              <w:rPr>
                <w:lang w:val="en-US"/>
              </w:rPr>
            </w:pPr>
            <w:r>
              <w:rPr>
                <w:rFonts w:eastAsia="Times New Roman" w:cs="Times New Roman"/>
                <w:b/>
                <w:bCs/>
                <w:lang w:val="en-US" w:eastAsia="pl-PL"/>
              </w:rPr>
              <w:t>email : ewa.pochec@cus.starachowice.eu</w:t>
            </w:r>
          </w:p>
        </w:tc>
      </w:tr>
    </w:tbl>
    <w:p>
      <w:pPr>
        <w:pStyle w:val="Normal"/>
        <w:widowControl w:val="false"/>
        <w:shd w:fill="FFFFFF"/>
        <w:bidi w:val="0"/>
        <w:spacing w:lineRule="atLeast" w:line="311" w:before="0" w:after="150"/>
        <w:ind w:start="0" w:end="0" w:hanging="0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</w:r>
    </w:p>
    <w:p>
      <w:pPr>
        <w:pStyle w:val="Normal"/>
        <w:shd w:fill="FFFFFF"/>
        <w:bidi w:val="0"/>
        <w:spacing w:lineRule="atLeast" w:line="311" w:before="120" w:after="0"/>
        <w:ind w:start="720" w:end="0" w:hanging="720"/>
        <w:jc w:val="start"/>
        <w:rPr/>
      </w:pPr>
      <w:r>
        <w:rPr>
          <w:rFonts w:eastAsia="Times New Roman" w:cs="Helvetica"/>
          <w:b/>
          <w:u w:val="single"/>
          <w:lang w:eastAsia="pl-PL"/>
        </w:rPr>
        <w:t>1.Tryb udzielenia zamówienia</w:t>
      </w:r>
    </w:p>
    <w:p>
      <w:pPr>
        <w:pStyle w:val="Tretekstu"/>
        <w:shd w:fill="FFFFFF"/>
        <w:bidi w:val="0"/>
        <w:spacing w:lineRule="atLeast" w:line="311" w:before="120" w:after="120"/>
        <w:ind w:start="0" w:end="34" w:hanging="0"/>
        <w:jc w:val="both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Zapytanie ofertowe prowadzenie z wyłączeniem przepisów ustawy z dnia 11 września 2019 r. Prawo zamówień publicznych (Dz. U. z 2023 r. poz. 1605 z późn. zm.) na podstawie art. 2 ust. 1 pkt. 1, </w:t>
      </w:r>
    </w:p>
    <w:p>
      <w:pPr>
        <w:pStyle w:val="Tretekstu"/>
        <w:shd w:val="clear" w:fill="FFFFFF"/>
        <w:spacing w:lineRule="atLeast" w:line="311" w:before="120" w:after="120"/>
        <w:ind w:start="0" w:end="34" w:hanging="0"/>
        <w:jc w:val="both"/>
        <w:rPr>
          <w:color w:val="000000"/>
        </w:rPr>
      </w:pPr>
      <w:r>
        <w:rPr>
          <w:color w:val="000000"/>
        </w:rPr>
        <w:t>Postępowanie prowadzone na podstawie Regulaminu udzielania zamówień finansowanych ze środków publicznych, których wartość jest mniejsza od kwoty 170 000 złotych wprowadzonego  Zarządzeniem nr 48/2025 Dyrektora Centrum Usług Społecznych z dnia 17 grudnia 2025 r.</w:t>
      </w:r>
    </w:p>
    <w:p>
      <w:pPr>
        <w:pStyle w:val="Tretekstu"/>
        <w:shd w:val="clear" w:fill="FFFFFF"/>
        <w:spacing w:lineRule="atLeast" w:line="311" w:before="120" w:after="120"/>
        <w:ind w:start="0" w:end="34" w:hanging="0"/>
        <w:jc w:val="both"/>
        <w:rPr>
          <w:color w:val="000000"/>
        </w:rPr>
      </w:pPr>
      <w:r>
        <w:rPr>
          <w:rFonts w:eastAsia="Times New Roman" w:cs="Calibri" w:ascii="Times New Roman" w:hAnsi="Times New Roman"/>
          <w:b/>
          <w:color w:val="000000"/>
          <w:sz w:val="22"/>
          <w:szCs w:val="22"/>
          <w:u w:val="single"/>
        </w:rPr>
        <w:t xml:space="preserve">2. </w:t>
      </w:r>
      <w:r>
        <w:rPr>
          <w:rFonts w:eastAsia="Times New Roman" w:cs="Calibri" w:ascii="Times New Roman" w:hAnsi="Times New Roman"/>
          <w:b/>
          <w:sz w:val="22"/>
          <w:szCs w:val="22"/>
          <w:u w:val="single"/>
        </w:rPr>
        <w:t>Przedmiot zamówienia</w:t>
      </w:r>
    </w:p>
    <w:p>
      <w:pPr>
        <w:pStyle w:val="NormalnyWeb"/>
        <w:spacing w:lineRule="auto" w:line="276" w:before="0" w:after="0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ab/>
      </w:r>
      <w:r>
        <w:rPr>
          <w:rFonts w:cs="Calibri" w:ascii="Times New Roman" w:hAnsi="Times New Roman"/>
          <w:sz w:val="24"/>
          <w:szCs w:val="24"/>
        </w:rPr>
        <w:t>Przedmiotem zamówienia jest dostawa art. spożywczych do Dziennego Domu Senior+ w Starachowicach</w:t>
      </w:r>
    </w:p>
    <w:p>
      <w:pPr>
        <w:pStyle w:val="NormalnyWeb"/>
        <w:spacing w:lineRule="auto" w:line="276" w:before="0" w:after="0"/>
        <w:jc w:val="both"/>
        <w:rPr/>
      </w:pPr>
      <w:r>
        <w:rPr>
          <w:rFonts w:cs="Calibri" w:ascii="Times New Roman" w:hAnsi="Times New Roman"/>
          <w:sz w:val="22"/>
          <w:szCs w:val="22"/>
        </w:rPr>
        <w:t>Kod CPV 15800000-6</w:t>
      </w:r>
      <w:r>
        <w:rPr>
          <w:rFonts w:cs="Calibri" w:ascii="Arial" w:hAnsi="Arial"/>
          <w:i w:val="false"/>
          <w:caps w:val="false"/>
          <w:smallCaps w:val="false"/>
          <w:sz w:val="20"/>
          <w:szCs w:val="22"/>
        </w:rPr>
        <w:t xml:space="preserve"> – Różne produkty spożywcze.</w:t>
      </w:r>
    </w:p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>Przedmiotem zamówienia jest:</w:t>
      </w:r>
    </w:p>
    <w:tbl>
      <w:tblPr>
        <w:tblW w:w="10348" w:type="dxa"/>
        <w:jc w:val="start"/>
        <w:tblInd w:w="10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70"/>
        <w:gridCol w:w="2778"/>
        <w:gridCol w:w="5669"/>
        <w:gridCol w:w="1330"/>
      </w:tblGrid>
      <w:tr>
        <w:trPr/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NAZWA PRODUKTU</w:t>
            </w:r>
          </w:p>
        </w:tc>
        <w:tc>
          <w:tcPr>
            <w:tcW w:w="5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PARAMETRY</w:t>
            </w:r>
          </w:p>
        </w:tc>
        <w:tc>
          <w:tcPr>
            <w:tcW w:w="13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ILOŚĆ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Pasztet Profi 250 g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jc w:val="both"/>
              <w:rPr>
                <w:rFonts w:ascii="Times New Roman" w:hAnsi="Times New Roman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</w:pPr>
            <w:r>
              <w:rPr>
                <w:rFonts w:cs="Calibri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>Różne rodzaje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50 szt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eastAsia="NSimSun" w:cs="Calibri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pl-PL" w:eastAsia="zh-CN" w:bidi="hi-IN"/>
              </w:rPr>
              <w:t>Ser żółty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 kg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76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ser żółty gouda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 (minimum dwa miesiące od dostawy)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3 sztuki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 xml:space="preserve">Kawa Rozpuszczalna </w:t>
            </w: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cronat gold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200G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/>
              <w:jc w:val="start"/>
              <w:rPr>
                <w:rFonts w:ascii="Times New Roman" w:hAnsi="Times New Roman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szCs w:val="22"/>
                <w:u w:val="none"/>
                <w:effect w:val="none"/>
              </w:rPr>
            </w:pPr>
            <w:r>
              <w:rPr/>
              <w:t>Cukier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/>
              <w:t xml:space="preserve"> </w:t>
            </w:r>
            <w:r>
              <w:rPr/>
              <w:t>Biały, kryształ, 1kg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 sztuk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bidi w:val="0"/>
              <w:spacing w:lineRule="auto" w:line="276" w:before="240" w:after="120"/>
              <w:jc w:val="star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Jacobs Cappuccino Choco Milka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400G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sztuk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Rodzynki suszone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100 g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40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Żurawina suszona krojona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100 g 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40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Kawa parzona Tchibo Family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Minimum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400G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/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 xml:space="preserve">Herbata czarna aromatyzowana </w:t>
            </w:r>
            <w:r>
              <w:rPr>
                <w:rStyle w:val="Mocnewyrnione"/>
                <w:rFonts w:ascii="Times New Roman" w:hAnsi="Times New Roman"/>
                <w:b w:val="false"/>
                <w:bCs w:val="false"/>
                <w:sz w:val="22"/>
                <w:szCs w:val="22"/>
              </w:rPr>
              <w:t xml:space="preserve">Lipton Brzoskwinia i Mango 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Style w:val="Mocnewyrnione"/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</w:rPr>
              <w:t xml:space="preserve">20 </w:t>
            </w:r>
            <w:r>
              <w:rPr>
                <w:rStyle w:val="Mocnewyrnione"/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</w:rPr>
              <w:t xml:space="preserve">torebek </w:t>
            </w:r>
            <w:r>
              <w:rPr>
                <w:rStyle w:val="Mocnewyrnione"/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</w:rPr>
              <w:t>x1,8 g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</w:rPr>
              <w:t xml:space="preserve"> 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Lipton Czarna Herbata ekspresowa z aromatycznych cytryn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 xml:space="preserve"> </w:t>
            </w:r>
            <w:r>
              <w:rPr>
                <w:rFonts w:cs="Calibri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 xml:space="preserve">20 PIRAMIDEK </w:t>
            </w:r>
            <w:r>
              <w:rPr>
                <w:rFonts w:cs="Calibri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>x 34g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</w:t>
            </w:r>
            <w:r>
              <w:rPr>
                <w:rFonts w:cs="Calibri" w:ascii="Times New Roman" w:hAnsi="Times New Roman"/>
                <w:sz w:val="22"/>
                <w:szCs w:val="22"/>
              </w:rPr>
              <w:t xml:space="preserve">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Cukier trzcinowy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500 g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Kawa parzona Dallmayr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500 g 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3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Śmietanka kremówka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Kartonik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30 % tłuszczu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UHT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 xml:space="preserve">Herbata owocowa w saszetkach 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Rożne smaki 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20 saszetek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 xml:space="preserve">Herbata ekspresowa Dilmah 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Earl grey 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100 torebek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 xml:space="preserve">Pomidory suszone w oleju 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Minimum 270 g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Oliwa z oliwek</w:t>
            </w:r>
          </w:p>
        </w:tc>
        <w:tc>
          <w:tcPr>
            <w:tcW w:w="566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1 litr 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extra vergine</w:t>
            </w:r>
          </w:p>
        </w:tc>
        <w:tc>
          <w:tcPr>
            <w:tcW w:w="13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</w:tbl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color w:val="FF0000"/>
          <w:sz w:val="22"/>
          <w:szCs w:val="22"/>
        </w:rPr>
      </w:pPr>
      <w:r>
        <w:rPr>
          <w:rFonts w:eastAsia="Times New Roman" w:cs="Calibri" w:ascii="Times New Roman" w:hAnsi="Times New Roman"/>
          <w:color w:val="FF0000"/>
          <w:sz w:val="22"/>
          <w:szCs w:val="22"/>
        </w:rPr>
        <w:tab/>
      </w:r>
    </w:p>
    <w:p>
      <w:pPr>
        <w:pStyle w:val="Normal"/>
        <w:numPr>
          <w:ilvl w:val="0"/>
          <w:numId w:val="0"/>
        </w:numPr>
        <w:shd w:val="clear" w:fill="FFFFFF"/>
        <w:spacing w:lineRule="auto" w:line="276"/>
        <w:ind w:start="720" w:hanging="0"/>
        <w:jc w:val="start"/>
        <w:rPr/>
      </w:pPr>
      <w:r>
        <w:rPr>
          <w:rStyle w:val="Domylnaczcionkaakapitu"/>
          <w:rFonts w:eastAsia="Times New Roman" w:cs="Calibri" w:ascii="Times New Roman" w:hAnsi="Times New Roman"/>
          <w:b/>
          <w:sz w:val="22"/>
          <w:szCs w:val="22"/>
          <w:u w:val="single"/>
        </w:rPr>
        <w:t xml:space="preserve">3. Termin wykonania przedmiotu zamówienia: </w:t>
      </w:r>
    </w:p>
    <w:p>
      <w:pPr>
        <w:pStyle w:val="Normal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Times New Roman" w:cs="Calibri" w:ascii="Times New Roman" w:hAnsi="Times New Roman"/>
          <w:b/>
          <w:sz w:val="22"/>
          <w:szCs w:val="22"/>
          <w:u w:val="single"/>
        </w:rPr>
        <w:t xml:space="preserve">Termin dostawy przez Wykonawcę </w:t>
      </w:r>
      <w:r>
        <w:rPr>
          <w:rStyle w:val="Domylnaczcionkaakapitu"/>
          <w:rFonts w:eastAsia="Times New Roman" w:cs="Calibri" w:ascii="Times New Roman" w:hAnsi="Times New Roman"/>
          <w:b/>
          <w:sz w:val="22"/>
          <w:szCs w:val="22"/>
          <w:u w:val="single"/>
        </w:rPr>
        <w:t>do dnia</w:t>
      </w:r>
      <w:r>
        <w:rPr>
          <w:rStyle w:val="Domylnaczcionkaakapitu"/>
          <w:rFonts w:eastAsia="Times New Roman" w:cs="Calibri" w:ascii="Times New Roman" w:hAnsi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 1</w:t>
      </w: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>5</w:t>
      </w:r>
      <w:r>
        <w:rPr>
          <w:rStyle w:val="Domylnaczcionkaakapitu"/>
          <w:rFonts w:eastAsia="Times New Roman" w:cs="Calibri" w:ascii="Times New Roman" w:hAnsi="Times New Roman"/>
          <w:bCs/>
          <w:sz w:val="22"/>
          <w:szCs w:val="22"/>
        </w:rPr>
        <w:t>.0</w:t>
      </w:r>
      <w:r>
        <w:rPr>
          <w:rStyle w:val="Domylnaczcionkaakapitu"/>
          <w:rFonts w:eastAsia="Times New Roman" w:cs="Calibri" w:ascii="Times New Roman" w:hAnsi="Times New Roman"/>
          <w:bCs/>
          <w:sz w:val="22"/>
          <w:szCs w:val="22"/>
        </w:rPr>
        <w:t>5</w:t>
      </w:r>
      <w:r>
        <w:rPr>
          <w:rStyle w:val="Domylnaczcionkaakapitu"/>
          <w:rFonts w:eastAsia="Times New Roman" w:cs="Calibri" w:ascii="Times New Roman" w:hAnsi="Times New Roman"/>
          <w:bCs/>
          <w:sz w:val="22"/>
          <w:szCs w:val="22"/>
        </w:rPr>
        <w:t xml:space="preserve">.2026 r. </w:t>
      </w:r>
      <w:r>
        <w:rPr>
          <w:rStyle w:val="Domylnaczcionkaakapitu"/>
          <w:rFonts w:eastAsia="Times New Roman" w:cs="Calibri" w:ascii="Times New Roman" w:hAnsi="Times New Roman"/>
          <w:bCs/>
          <w:sz w:val="22"/>
          <w:szCs w:val="22"/>
        </w:rPr>
        <w:t>godziny poranne po 8:00</w:t>
      </w:r>
    </w:p>
    <w:p>
      <w:pPr>
        <w:pStyle w:val="Normal"/>
        <w:shd w:val="clear" w:fill="FFFFFF"/>
        <w:tabs>
          <w:tab w:val="clear" w:pos="709"/>
        </w:tabs>
        <w:spacing w:lineRule="auto" w:line="276"/>
        <w:ind w:start="928" w:end="0" w:hanging="0"/>
        <w:jc w:val="both"/>
        <w:rPr>
          <w:rFonts w:ascii="Times New Roman" w:hAnsi="Times New Roman" w:eastAsia="Times New Roman" w:cs="Calibri"/>
          <w:b/>
          <w:b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sz w:val="22"/>
          <w:szCs w:val="22"/>
          <w:u w:val="single"/>
        </w:rPr>
      </w:r>
    </w:p>
    <w:p>
      <w:pPr>
        <w:pStyle w:val="Normal"/>
        <w:numPr>
          <w:ilvl w:val="0"/>
          <w:numId w:val="2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720" w:hanging="360"/>
        <w:jc w:val="both"/>
        <w:rPr>
          <w:rFonts w:ascii="Times New Roman" w:hAnsi="Times New Roman" w:eastAsia="Times New Roman" w:cs="Calibri"/>
          <w:b/>
          <w:b/>
          <w:bCs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bCs/>
          <w:sz w:val="22"/>
          <w:szCs w:val="22"/>
          <w:u w:val="single"/>
        </w:rPr>
        <w:t>Kryteria oceny ofert.</w:t>
      </w:r>
    </w:p>
    <w:p>
      <w:pPr>
        <w:pStyle w:val="Normal"/>
        <w:numPr>
          <w:ilvl w:val="1"/>
          <w:numId w:val="4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080" w:hanging="360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  <w:t>Przy wyborze najkorzystniejszej oferty Zamawiający kierować się będzie:</w:t>
      </w:r>
    </w:p>
    <w:tbl>
      <w:tblPr>
        <w:tblW w:w="9575" w:type="dxa"/>
        <w:jc w:val="start"/>
        <w:tblInd w:w="92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816"/>
        <w:gridCol w:w="4758"/>
      </w:tblGrid>
      <w:tr>
        <w:trPr/>
        <w:tc>
          <w:tcPr>
            <w:tcW w:w="4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9"/>
                <w:tab w:val="left" w:pos="0" w:leader="none"/>
              </w:tabs>
              <w:spacing w:lineRule="auto" w:line="276"/>
              <w:ind w:start="720" w:hanging="360"/>
              <w:rPr>
                <w:rFonts w:ascii="Times New Roman" w:hAnsi="Times New Roman" w:cs="Calibri"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Cs/>
                <w:sz w:val="22"/>
                <w:szCs w:val="22"/>
              </w:rPr>
              <w:t>Cena (waga 100%)</w:t>
            </w:r>
          </w:p>
        </w:tc>
        <w:tc>
          <w:tcPr>
            <w:tcW w:w="47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Times New Roman" w:hAnsi="Times New Roman" w:cs="Calibri"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Cs/>
                <w:sz w:val="22"/>
                <w:szCs w:val="22"/>
              </w:rPr>
              <w:t>Cena brutto</w:t>
            </w:r>
          </w:p>
        </w:tc>
      </w:tr>
    </w:tbl>
    <w:p>
      <w:pPr>
        <w:pStyle w:val="Normal"/>
        <w:shd w:val="clear" w:fill="FFFFFF"/>
        <w:tabs>
          <w:tab w:val="clear" w:pos="709"/>
        </w:tabs>
        <w:spacing w:lineRule="auto" w:line="276"/>
        <w:ind w:start="928" w:end="0" w:hanging="0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</w:r>
    </w:p>
    <w:p>
      <w:pPr>
        <w:pStyle w:val="Tretekstu"/>
        <w:tabs>
          <w:tab w:val="clear" w:pos="709"/>
        </w:tabs>
        <w:spacing w:lineRule="auto" w:line="276" w:before="0" w:after="0"/>
        <w:ind w:start="928" w:end="0" w:hanging="0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>5.2. Zasady przyznawania punktów: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cs="Calibri"/>
          <w:b/>
          <w:bCs/>
          <w:sz w:val="22"/>
          <w:szCs w:val="22"/>
        </w:rPr>
        <w:t>a)  Cena – 100% (gdzie 1% = 1 pkt)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/>
          <w:sz w:val="22"/>
          <w:szCs w:val="22"/>
        </w:rPr>
        <w:t>Ilość punktów dla każdej ocenianej oferty zostanie wyliczona wg poniższego wzoru, gdzie zaokrąglenia dokonane zostaną z dokładnością do dwóch miejsc po przecinku: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b/>
          <w:bCs/>
          <w:sz w:val="22"/>
          <w:szCs w:val="22"/>
        </w:rPr>
        <w:t xml:space="preserve">           </w:t>
      </w:r>
      <w:r>
        <w:rPr>
          <w:rStyle w:val="Domylnaczcionkaakapitu"/>
          <w:rFonts w:cs="Calibri"/>
          <w:b/>
          <w:bCs/>
          <w:sz w:val="22"/>
          <w:szCs w:val="22"/>
          <w:lang w:val="en-US"/>
        </w:rPr>
        <w:t>C min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>
          <w:rFonts w:ascii="Times New Roman" w:hAnsi="Times New Roman" w:cs="Calibri"/>
          <w:b/>
          <w:b/>
          <w:bCs/>
          <w:sz w:val="22"/>
          <w:szCs w:val="22"/>
          <w:lang w:val="en-US"/>
        </w:rPr>
      </w:pPr>
      <w:r>
        <w:rPr>
          <w:rFonts w:cs="Calibri"/>
          <w:b/>
          <w:bCs/>
          <w:sz w:val="22"/>
          <w:szCs w:val="22"/>
          <w:lang w:val="en-US"/>
        </w:rPr>
        <w:t>C = ------------------ x 100 pkt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b/>
          <w:bCs/>
          <w:sz w:val="22"/>
          <w:szCs w:val="22"/>
          <w:lang w:val="en-US"/>
        </w:rPr>
        <w:t xml:space="preserve">           </w:t>
      </w:r>
      <w:r>
        <w:rPr>
          <w:rStyle w:val="Domylnaczcionkaakapitu"/>
          <w:rFonts w:cs="Calibri"/>
          <w:b/>
          <w:bCs/>
          <w:sz w:val="22"/>
          <w:szCs w:val="22"/>
          <w:lang w:val="en-US"/>
        </w:rPr>
        <w:t>C bad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>
          <w:rFonts w:ascii="Times New Roman" w:hAnsi="Times New Roman" w:cs="Calibri"/>
          <w:sz w:val="22"/>
          <w:szCs w:val="22"/>
          <w:lang w:val="en-US"/>
        </w:rPr>
      </w:pPr>
      <w:r>
        <w:rPr>
          <w:rFonts w:cs="Calibri"/>
          <w:sz w:val="22"/>
          <w:szCs w:val="22"/>
          <w:lang w:val="en-US"/>
        </w:rPr>
        <w:t>gdzie: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cs="Calibri"/>
          <w:b/>
          <w:bCs/>
          <w:sz w:val="22"/>
          <w:szCs w:val="22"/>
        </w:rPr>
        <w:t xml:space="preserve">C </w:t>
      </w:r>
      <w:r>
        <w:rPr>
          <w:rStyle w:val="Domylnaczcionkaakapitu"/>
          <w:rFonts w:cs="Calibri"/>
          <w:sz w:val="22"/>
          <w:szCs w:val="22"/>
        </w:rPr>
        <w:t>- ilość punktów badanej oferty w kryterium cena,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cs="Calibri"/>
          <w:b/>
          <w:bCs/>
          <w:sz w:val="22"/>
          <w:szCs w:val="22"/>
        </w:rPr>
        <w:t xml:space="preserve">C min - </w:t>
      </w:r>
      <w:r>
        <w:rPr>
          <w:rStyle w:val="Domylnaczcionkaakapitu"/>
          <w:rFonts w:cs="Calibri"/>
          <w:sz w:val="22"/>
          <w:szCs w:val="22"/>
        </w:rPr>
        <w:t>cena oferty (brutto) najniższa spośród wszystkich badanych ofert,</w:t>
      </w:r>
    </w:p>
    <w:p>
      <w:pPr>
        <w:pStyle w:val="Akapitzlist"/>
        <w:jc w:val="both"/>
        <w:rPr/>
      </w:pPr>
      <w:r>
        <w:rPr>
          <w:rStyle w:val="Domylnaczcionkaakapitu"/>
          <w:rFonts w:cs="Calibri" w:ascii="Times New Roman" w:hAnsi="Times New Roman"/>
          <w:b/>
          <w:bCs/>
          <w:sz w:val="22"/>
          <w:szCs w:val="22"/>
        </w:rPr>
        <w:t xml:space="preserve">C bad - </w:t>
      </w:r>
      <w:r>
        <w:rPr>
          <w:rStyle w:val="Domylnaczcionkaakapitu"/>
          <w:rFonts w:cs="Calibri" w:ascii="Times New Roman" w:hAnsi="Times New Roman"/>
          <w:sz w:val="22"/>
          <w:szCs w:val="22"/>
        </w:rPr>
        <w:t>cena (brutto) badanej oferty</w:t>
      </w:r>
    </w:p>
    <w:p>
      <w:pPr>
        <w:pStyle w:val="Tretekstu"/>
        <w:numPr>
          <w:ilvl w:val="1"/>
          <w:numId w:val="6"/>
        </w:numPr>
        <w:tabs>
          <w:tab w:val="clear" w:pos="709"/>
          <w:tab w:val="left" w:pos="0" w:leader="none"/>
        </w:tabs>
        <w:spacing w:lineRule="auto" w:line="276" w:before="0" w:after="0"/>
        <w:ind w:start="1440" w:hanging="36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>Jeżeli nie będzie można wybrać oferty najkorzystniejszej z uwagi na to, że dwie lub więcej ofert przedstawia taki sam bilans ceny, Zamawiający wezwie Wykonawców, którzy złożyli te oferty, do złożenia w terminie określonym przez Zamawiającego ofert dodatkowych.</w:t>
      </w:r>
    </w:p>
    <w:p>
      <w:pPr>
        <w:pStyle w:val="Tretekstu"/>
        <w:numPr>
          <w:ilvl w:val="1"/>
          <w:numId w:val="6"/>
        </w:numPr>
        <w:tabs>
          <w:tab w:val="clear" w:pos="709"/>
          <w:tab w:val="left" w:pos="0" w:leader="none"/>
        </w:tabs>
        <w:spacing w:lineRule="auto" w:line="276" w:before="0" w:after="0"/>
        <w:ind w:start="1440" w:hanging="36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 xml:space="preserve">Wykonawcy, składający oferty dodatkowe, nie mogą zaoferować cen wyższych, niż zaoferowane w ofertach podstawowych.  </w:t>
      </w:r>
    </w:p>
    <w:p>
      <w:pPr>
        <w:pStyle w:val="Tretekstu"/>
        <w:spacing w:lineRule="auto" w:line="276" w:before="0" w:after="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</w:r>
    </w:p>
    <w:p>
      <w:pPr>
        <w:pStyle w:val="Normal"/>
        <w:numPr>
          <w:ilvl w:val="0"/>
          <w:numId w:val="6"/>
        </w:numPr>
        <w:shd w:val="clear" w:fill="FFFFFF"/>
        <w:tabs>
          <w:tab w:val="clear" w:pos="709"/>
          <w:tab w:val="left" w:pos="0" w:leader="none"/>
        </w:tabs>
        <w:spacing w:lineRule="auto" w:line="276" w:before="0" w:after="150"/>
        <w:ind w:start="360" w:hanging="360"/>
        <w:rPr>
          <w:rFonts w:ascii="Times New Roman" w:hAnsi="Times New Roman" w:eastAsia="Times New Roman" w:cs="Calibri"/>
          <w:b/>
          <w:b/>
          <w:bCs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bCs/>
          <w:sz w:val="22"/>
          <w:szCs w:val="22"/>
          <w:u w:val="single"/>
        </w:rPr>
        <w:t>Warunki udziału w postępowaniu:</w:t>
      </w:r>
    </w:p>
    <w:p>
      <w:pPr>
        <w:pStyle w:val="Normal"/>
        <w:shd w:val="clear" w:fill="FFFFFF"/>
        <w:tabs>
          <w:tab w:val="clear" w:pos="709"/>
        </w:tabs>
        <w:spacing w:lineRule="auto" w:line="276" w:before="0" w:after="150"/>
        <w:ind w:start="720" w:end="0" w:hanging="0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>O udzielenie zamówienia mogą ubiegać się Wykonawcy, którzy:</w:t>
      </w:r>
    </w:p>
    <w:p>
      <w:pPr>
        <w:pStyle w:val="Akapitzlist"/>
        <w:numPr>
          <w:ilvl w:val="1"/>
          <w:numId w:val="7"/>
        </w:numPr>
        <w:tabs>
          <w:tab w:val="left" w:pos="0" w:leader="none"/>
        </w:tabs>
        <w:spacing w:before="0" w:after="0"/>
        <w:ind w:start="2520" w:end="0" w:hanging="360"/>
        <w:jc w:val="both"/>
        <w:rPr/>
      </w:pPr>
      <w:r>
        <w:rPr>
          <w:rStyle w:val="Domylnaczcionkaakapitu"/>
          <w:rFonts w:cs="Calibri" w:ascii="Times New Roman" w:hAnsi="Times New Roman"/>
          <w:bCs/>
          <w:sz w:val="22"/>
          <w:szCs w:val="22"/>
        </w:rPr>
        <w:t xml:space="preserve">nie podlegają wykluczeniu z postępowania na podstawie </w:t>
      </w:r>
      <w:r>
        <w:rPr>
          <w:rStyle w:val="Markedcontent"/>
          <w:rFonts w:cs="Calibri" w:ascii="Times New Roman" w:hAnsi="Times New Roman"/>
          <w:sz w:val="22"/>
          <w:szCs w:val="22"/>
        </w:rPr>
        <w:t>art. 7 ust. 1 ustawy z dnia 13 kwietnia 2022 r. o szczególnych rozwiązaniach w zakresie przeciwdziałania wspieraniu agresji a Ukrainę oraz służących ochronie bezpieczeństwa  narodowego (Dz. U. 2023 poz. 1497).</w:t>
      </w:r>
    </w:p>
    <w:p>
      <w:pPr>
        <w:pStyle w:val="Standard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i/>
          <w:sz w:val="22"/>
          <w:szCs w:val="22"/>
          <w:u w:val="single"/>
        </w:rPr>
        <w:t xml:space="preserve">Na potwierdzenie Wykonawca złoży oświadczenie według </w:t>
      </w:r>
      <w:r>
        <w:rPr>
          <w:rStyle w:val="Domylnaczcionkaakapitu"/>
          <w:rFonts w:eastAsia="Calibri" w:cs="Calibri"/>
          <w:i/>
          <w:color w:val="FF0000"/>
          <w:sz w:val="22"/>
          <w:szCs w:val="22"/>
          <w:u w:val="single"/>
        </w:rPr>
        <w:t>załącznika nr 1</w:t>
      </w:r>
    </w:p>
    <w:p>
      <w:pPr>
        <w:pStyle w:val="Standard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>
          <w:rStyle w:val="Domylnaczcionkaakapitu"/>
          <w:rFonts w:ascii="Times New Roman" w:hAnsi="Times New Roman" w:eastAsia="Calibri" w:cs="Calibri"/>
          <w:i/>
          <w:i/>
          <w:color w:val="FF0000"/>
          <w:sz w:val="22"/>
          <w:szCs w:val="22"/>
          <w:u w:val="single"/>
        </w:rPr>
      </w:pPr>
      <w:r>
        <w:rPr>
          <w:rFonts w:eastAsia="Calibri" w:cs="Calibri"/>
          <w:i/>
          <w:color w:val="FF0000"/>
          <w:sz w:val="22"/>
          <w:szCs w:val="22"/>
          <w:u w:val="single"/>
        </w:rPr>
      </w:r>
    </w:p>
    <w:p>
      <w:pPr>
        <w:pStyle w:val="Akapitzlist"/>
        <w:numPr>
          <w:ilvl w:val="1"/>
          <w:numId w:val="7"/>
        </w:numPr>
        <w:tabs>
          <w:tab w:val="left" w:pos="0" w:leader="none"/>
        </w:tabs>
        <w:spacing w:before="0" w:after="0"/>
        <w:ind w:start="2520" w:end="0" w:hanging="36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>spełniają niżej wymienione warunki  udziału w postępowaniu, tj</w:t>
      </w:r>
    </w:p>
    <w:p>
      <w:pPr>
        <w:pStyle w:val="Normal"/>
        <w:numPr>
          <w:ilvl w:val="0"/>
          <w:numId w:val="14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134" w:end="0" w:hanging="360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  <w:t>posiadają niezbędną wiedzę i doświadczenie oraz dysponują potencjałem technicznym oraz osobami zapewniającymi terminowość realizacji zamówienia;</w:t>
      </w:r>
    </w:p>
    <w:p>
      <w:pPr>
        <w:pStyle w:val="Normal"/>
        <w:numPr>
          <w:ilvl w:val="0"/>
          <w:numId w:val="15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134" w:end="0" w:hanging="360"/>
        <w:rPr/>
      </w:pP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posiadają </w:t>
      </w:r>
      <w:r>
        <w:rPr>
          <w:rStyle w:val="Domylnaczcionkaakapitu"/>
          <w:rFonts w:eastAsia="Times New Roman" w:cs="Calibri" w:ascii="Times New Roman" w:hAnsi="Times New Roman"/>
          <w:bCs/>
          <w:sz w:val="22"/>
          <w:szCs w:val="22"/>
        </w:rPr>
        <w:t>uprawnienia do wykonywania określonej działalności;</w:t>
      </w:r>
    </w:p>
    <w:p>
      <w:pPr>
        <w:pStyle w:val="Standard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i/>
          <w:sz w:val="22"/>
          <w:szCs w:val="22"/>
          <w:u w:val="single"/>
        </w:rPr>
        <w:t xml:space="preserve">Na potwierdzenie Wykonawca złoży oświadczenie według </w:t>
      </w:r>
      <w:r>
        <w:rPr>
          <w:rStyle w:val="Domylnaczcionkaakapitu"/>
          <w:rFonts w:eastAsia="Calibri" w:cs="Calibri"/>
          <w:i/>
          <w:color w:val="FF0000"/>
          <w:sz w:val="22"/>
          <w:szCs w:val="22"/>
          <w:u w:val="single"/>
        </w:rPr>
        <w:t>załącznika nr 2</w:t>
      </w:r>
    </w:p>
    <w:p>
      <w:pPr>
        <w:pStyle w:val="Normal"/>
        <w:shd w:val="clear" w:fill="FFFFFF"/>
        <w:spacing w:lineRule="auto" w:line="276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</w:r>
    </w:p>
    <w:p>
      <w:pPr>
        <w:pStyle w:val="Normal"/>
        <w:numPr>
          <w:ilvl w:val="0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 w:before="0" w:after="120"/>
        <w:ind w:start="360" w:hanging="360"/>
        <w:rPr>
          <w:rFonts w:ascii="Times New Roman" w:hAnsi="Times New Roman" w:eastAsia="Times New Roman" w:cs="Calibri"/>
          <w:b/>
          <w:b/>
          <w:bCs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bCs/>
          <w:sz w:val="22"/>
          <w:szCs w:val="22"/>
          <w:u w:val="single"/>
        </w:rPr>
        <w:t>Informacje dotyczące płatności</w:t>
      </w:r>
    </w:p>
    <w:p>
      <w:pPr>
        <w:pStyle w:val="Normal"/>
        <w:shd w:val="clear" w:fill="FFFFFF"/>
        <w:spacing w:lineRule="auto" w:line="276"/>
        <w:jc w:val="both"/>
        <w:rPr/>
      </w:pP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Zapłata nastąpi przelewem na rachunek bankowy Wykonawcy za pośrednictwem metody podzielonej płatności (MPP, split payment) </w:t>
      </w:r>
      <w:r>
        <w:rPr>
          <w:rStyle w:val="Domylnaczcionkaakapitu"/>
          <w:rFonts w:eastAsia="Times New Roman" w:cs="Calibri" w:ascii="Times New Roman" w:hAnsi="Times New Roman"/>
          <w:sz w:val="22"/>
          <w:szCs w:val="22"/>
          <w:shd w:fill="FFFFFF" w:val="clear"/>
        </w:rPr>
        <w:t>w terminie 21 dni od daty doręczenia</w:t>
      </w: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 Zamawiającemu prawidłowo wystawionej faktury.</w:t>
      </w:r>
    </w:p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 xml:space="preserve">Ponadto w związku z centralizacją VAT Wykonawca wystawi fakturę, na której po stronie Zamawiającego będą widniały dwa podmioty, tj. 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/>
        </w:rPr>
      </w:pPr>
      <w:r>
        <w:rPr>
          <w:rFonts w:eastAsia="Times New Roman" w:cs="Helvetica" w:ascii="Times New Roman" w:hAnsi="Times New Roman"/>
          <w:sz w:val="24"/>
          <w:szCs w:val="24"/>
          <w:lang w:eastAsia="pl-PL"/>
        </w:rPr>
        <w:t xml:space="preserve">Nabywca: </w:t>
      </w:r>
      <w:r>
        <w:rPr>
          <w:rFonts w:eastAsia="Times New Roman" w:cs="Helvetica" w:ascii="Times New Roman" w:hAnsi="Times New Roman"/>
          <w:b/>
          <w:bCs/>
          <w:sz w:val="24"/>
          <w:szCs w:val="24"/>
          <w:lang w:eastAsia="pl-PL"/>
        </w:rPr>
        <w:t>Gmina Starachowice ul. Radomska 45, 27-200 Starachowice NIP 644-19-09-150</w:t>
      </w:r>
      <w:r>
        <w:rPr>
          <w:rFonts w:eastAsia="Times New Roman" w:cs="Helvetica" w:ascii="Times New Roman" w:hAnsi="Times New Roman"/>
          <w:sz w:val="24"/>
          <w:szCs w:val="24"/>
          <w:lang w:eastAsia="pl-PL"/>
        </w:rPr>
        <w:t xml:space="preserve">  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/>
        </w:rPr>
      </w:pPr>
      <w:r>
        <w:rPr>
          <w:rFonts w:eastAsia="Times New Roman" w:cs="Helvetica" w:ascii="Times New Roman" w:hAnsi="Times New Roman"/>
          <w:sz w:val="24"/>
          <w:szCs w:val="24"/>
          <w:lang w:eastAsia="pl-PL"/>
        </w:rPr>
        <w:t xml:space="preserve">odbiorca: </w:t>
      </w:r>
      <w:r>
        <w:rPr>
          <w:rFonts w:eastAsia="Times New Roman" w:cs="Helvetica" w:ascii="Times New Roman" w:hAnsi="Times New Roman"/>
          <w:b/>
          <w:bCs/>
          <w:sz w:val="24"/>
          <w:szCs w:val="24"/>
          <w:lang w:eastAsia="pl-PL"/>
        </w:rPr>
        <w:t>Centrum Usług Społecznych w Starachowicach ul. Majówka 21A, 27-200 Starachowice.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 w:eastAsia="Times New Roman" w:cs="Helvetica"/>
          <w:sz w:val="24"/>
          <w:szCs w:val="24"/>
          <w:lang w:eastAsia="pl-PL"/>
        </w:rPr>
      </w:pPr>
      <w:r>
        <w:rPr>
          <w:rFonts w:eastAsia="Times New Roman" w:cs="Helvetica" w:ascii="Times New Roman" w:hAnsi="Times New Roman"/>
          <w:sz w:val="24"/>
          <w:szCs w:val="24"/>
          <w:lang w:eastAsia="pl-PL"/>
        </w:rPr>
        <w:t>Dane do dostawy: Dzienny Dom Senior+ ul. Aleja Armii Krajowej 28 Ip. „ Galeria Handlowa Skałka” tel. 668-211-216.</w:t>
      </w:r>
    </w:p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</w:r>
    </w:p>
    <w:p>
      <w:pPr>
        <w:pStyle w:val="Normal"/>
        <w:numPr>
          <w:ilvl w:val="0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360" w:hanging="360"/>
        <w:jc w:val="both"/>
        <w:rPr>
          <w:rFonts w:ascii="Times New Roman" w:hAnsi="Times New Roman" w:eastAsia="Times New Roman" w:cs="Calibri"/>
          <w:b/>
          <w:b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sz w:val="22"/>
          <w:szCs w:val="22"/>
          <w:u w:val="single"/>
        </w:rPr>
        <w:t>Inne istotne warunki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76"/>
        <w:ind w:start="1800" w:hanging="0"/>
        <w:jc w:val="both"/>
        <w:rPr>
          <w:rStyle w:val="Domylnaczcionkaakapitu"/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</w:r>
    </w:p>
    <w:p>
      <w:pPr>
        <w:pStyle w:val="Normal"/>
        <w:numPr>
          <w:ilvl w:val="1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800" w:hanging="360"/>
        <w:jc w:val="both"/>
        <w:rPr>
          <w:rFonts w:ascii="Times New Roman" w:hAnsi="Times New Roman" w:eastAsia="Times New Roman" w:cs="Calibri"/>
          <w:color w:val="000000"/>
          <w:sz w:val="22"/>
          <w:szCs w:val="22"/>
        </w:rPr>
      </w:pPr>
      <w:r>
        <w:rPr>
          <w:rFonts w:eastAsia="Times New Roman" w:cs="Calibri" w:ascii="Times New Roman" w:hAnsi="Times New Roman"/>
          <w:color w:val="000000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pisemnie za pomocą platformy zakupowej Open Nexus.</w:t>
      </w:r>
    </w:p>
    <w:p>
      <w:pPr>
        <w:pStyle w:val="Normal"/>
        <w:numPr>
          <w:ilvl w:val="1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800" w:hanging="360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>Zamawiający zastrzega że postępowanie może zakończyć się brakiem wyboru oferty.</w:t>
      </w:r>
    </w:p>
    <w:p>
      <w:pPr>
        <w:pStyle w:val="Normal"/>
        <w:numPr>
          <w:ilvl w:val="1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800" w:hanging="360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>Zamawiający zastrzega, że transport i rozładunek należą do obowiązków Wykonawcy, a ich koszt powinien być  wliczony w cenę produktów.</w:t>
      </w:r>
    </w:p>
    <w:p>
      <w:pPr>
        <w:pStyle w:val="Tretekstu"/>
        <w:spacing w:lineRule="auto" w:line="276" w:before="0" w:after="60"/>
        <w:jc w:val="both"/>
        <w:rPr>
          <w:rFonts w:ascii="Times New Roman" w:hAnsi="Times New Roman" w:cs="Calibri"/>
          <w:b/>
          <w:b/>
          <w:bCs/>
          <w:sz w:val="22"/>
          <w:szCs w:val="22"/>
        </w:rPr>
      </w:pPr>
      <w:r>
        <w:rPr>
          <w:rFonts w:cs="Calibri" w:ascii="Times New Roman" w:hAnsi="Times New Roman"/>
          <w:b/>
          <w:bCs/>
          <w:sz w:val="22"/>
          <w:szCs w:val="22"/>
        </w:rPr>
      </w:r>
    </w:p>
    <w:p>
      <w:pPr>
        <w:pStyle w:val="Tretekstu"/>
        <w:shd w:fill="FFFFFF"/>
        <w:bidi w:val="0"/>
        <w:spacing w:lineRule="auto" w:line="276" w:before="0" w:after="60"/>
        <w:ind w:start="425" w:end="0" w:hanging="425"/>
        <w:jc w:val="both"/>
        <w:rPr/>
      </w:pPr>
      <w:r>
        <w:rPr>
          <w:rStyle w:val="Domylnaczcionkaakapitu"/>
          <w:rFonts w:eastAsia="Times New Roman" w:cs="Calibri" w:ascii="Times New Roman" w:hAnsi="Times New Roman"/>
          <w:b/>
          <w:bCs/>
          <w:sz w:val="22"/>
          <w:szCs w:val="22"/>
          <w:u w:val="single"/>
          <w:lang w:eastAsia="pl-PL"/>
        </w:rPr>
        <w:t xml:space="preserve">Sporządził:  Ewa Pocheć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erif">
    <w:altName w:val="Times New Roman"/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Symbol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pStyle w:val="Nagwek4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lowerRoman"/>
      <w:lvlText w:val="%3."/>
      <w:lvlJc w:val="end"/>
      <w:pPr>
        <w:tabs>
          <w:tab w:val="num" w:pos="2161"/>
        </w:tabs>
        <w:ind w:start="2161" w:hanging="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lowerRoman"/>
      <w:lvlText w:val="%9."/>
      <w:lvlJc w:val="end"/>
      <w:pPr>
        <w:tabs>
          <w:tab w:val="num" w:pos="6481"/>
        </w:tabs>
        <w:ind w:start="6481" w:hanging="0"/>
      </w:pPr>
    </w:lvl>
  </w:abstractNum>
  <w:abstractNum w:abstractNumId="3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4">
    <w:lvl w:ilvl="0">
      <w:start w:val="5"/>
      <w:numFmt w:val="decimal"/>
      <w:lvlText w:val="%1."/>
      <w:lvlJc w:val="start"/>
      <w:pPr>
        <w:tabs>
          <w:tab w:val="num" w:pos="360"/>
        </w:tabs>
        <w:ind w:start="360" w:hanging="360"/>
      </w:pPr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1.%2.%3."/>
      <w:lvlJc w:val="start"/>
      <w:pPr>
        <w:tabs>
          <w:tab w:val="num" w:pos="2160"/>
        </w:tabs>
        <w:ind w:start="2160" w:hanging="720"/>
      </w:pPr>
    </w:lvl>
    <w:lvl w:ilvl="3">
      <w:start w:val="1"/>
      <w:numFmt w:val="decimal"/>
      <w:lvlText w:val="%1.%2.%3.%4."/>
      <w:lvlJc w:val="start"/>
      <w:pPr>
        <w:tabs>
          <w:tab w:val="num" w:pos="2880"/>
        </w:tabs>
        <w:ind w:start="2880" w:hanging="720"/>
      </w:pPr>
    </w:lvl>
    <w:lvl w:ilvl="4">
      <w:start w:val="1"/>
      <w:numFmt w:val="decimal"/>
      <w:lvlText w:val="%1.%2.%3.%4.%5."/>
      <w:lvlJc w:val="start"/>
      <w:pPr>
        <w:tabs>
          <w:tab w:val="num" w:pos="3960"/>
        </w:tabs>
        <w:ind w:start="3960" w:hanging="1080"/>
      </w:pPr>
    </w:lvl>
    <w:lvl w:ilvl="5">
      <w:start w:val="1"/>
      <w:numFmt w:val="decimal"/>
      <w:lvlText w:val="%1.%2.%3.%4.%5.%6."/>
      <w:lvlJc w:val="start"/>
      <w:pPr>
        <w:tabs>
          <w:tab w:val="num" w:pos="4680"/>
        </w:tabs>
        <w:ind w:start="4680" w:hanging="1080"/>
      </w:pPr>
    </w:lvl>
    <w:lvl w:ilvl="6">
      <w:start w:val="1"/>
      <w:numFmt w:val="decimal"/>
      <w:lvlText w:val="%1.%2.%3.%4.%5.%6.%7."/>
      <w:lvlJc w:val="start"/>
      <w:pPr>
        <w:tabs>
          <w:tab w:val="num" w:pos="5760"/>
        </w:tabs>
        <w:ind w:start="5760" w:hanging="1440"/>
      </w:pPr>
    </w:lvl>
    <w:lvl w:ilvl="7">
      <w:start w:val="1"/>
      <w:numFmt w:val="decimal"/>
      <w:lvlText w:val="%1.%2.%3.%4.%5.%6.%7.%8."/>
      <w:lvlJc w:val="start"/>
      <w:pPr>
        <w:tabs>
          <w:tab w:val="num" w:pos="6480"/>
        </w:tabs>
        <w:ind w:start="6480" w:hanging="1440"/>
      </w:pPr>
    </w:lvl>
    <w:lvl w:ilvl="8">
      <w:start w:val="1"/>
      <w:numFmt w:val="decimal"/>
      <w:lvlText w:val="%1.%2.%3.%4.%5.%6.%7.%8.%9."/>
      <w:lvlJc w:val="start"/>
      <w:pPr>
        <w:tabs>
          <w:tab w:val="num" w:pos="7560"/>
        </w:tabs>
        <w:ind w:start="7560" w:hanging="1800"/>
      </w:pPr>
    </w:lvl>
  </w:abstractNum>
  <w:abstractNum w:abstractNumId="5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lowerRoman"/>
      <w:lvlText w:val="%3."/>
      <w:lvlJc w:val="end"/>
      <w:pPr>
        <w:tabs>
          <w:tab w:val="num" w:pos="2161"/>
        </w:tabs>
        <w:ind w:start="2161" w:hanging="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lowerRoman"/>
      <w:lvlText w:val="%9."/>
      <w:lvlJc w:val="end"/>
      <w:pPr>
        <w:tabs>
          <w:tab w:val="num" w:pos="6481"/>
        </w:tabs>
        <w:ind w:start="6481" w:hanging="0"/>
      </w:pPr>
    </w:lvl>
  </w:abstractNum>
  <w:abstractNum w:abstractNumId="6">
    <w:lvl w:ilvl="0">
      <w:start w:val="5"/>
      <w:numFmt w:val="decimal"/>
      <w:lvlText w:val="%1."/>
      <w:lvlJc w:val="start"/>
      <w:pPr>
        <w:tabs>
          <w:tab w:val="num" w:pos="360"/>
        </w:tabs>
        <w:ind w:start="360" w:hanging="360"/>
      </w:pPr>
    </w:lvl>
    <w:lvl w:ilvl="1">
      <w:start w:val="3"/>
      <w:numFmt w:val="decimal"/>
      <w:lvlText w:val="%1.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1.%2.%3."/>
      <w:lvlJc w:val="start"/>
      <w:pPr>
        <w:tabs>
          <w:tab w:val="num" w:pos="2880"/>
        </w:tabs>
        <w:ind w:start="2880" w:hanging="720"/>
      </w:pPr>
    </w:lvl>
    <w:lvl w:ilvl="3">
      <w:start w:val="1"/>
      <w:numFmt w:val="decimal"/>
      <w:lvlText w:val="%1.%2.%3.%4."/>
      <w:lvlJc w:val="start"/>
      <w:pPr>
        <w:tabs>
          <w:tab w:val="num" w:pos="3960"/>
        </w:tabs>
        <w:ind w:start="3960" w:hanging="720"/>
      </w:pPr>
    </w:lvl>
    <w:lvl w:ilvl="4">
      <w:start w:val="1"/>
      <w:numFmt w:val="decimal"/>
      <w:lvlText w:val="%1.%2.%3.%4.%5."/>
      <w:lvlJc w:val="start"/>
      <w:pPr>
        <w:tabs>
          <w:tab w:val="num" w:pos="5400"/>
        </w:tabs>
        <w:ind w:start="5400" w:hanging="1080"/>
      </w:pPr>
    </w:lvl>
    <w:lvl w:ilvl="5">
      <w:start w:val="1"/>
      <w:numFmt w:val="decimal"/>
      <w:lvlText w:val="%1.%2.%3.%4.%5.%6."/>
      <w:lvlJc w:val="start"/>
      <w:pPr>
        <w:tabs>
          <w:tab w:val="num" w:pos="6480"/>
        </w:tabs>
        <w:ind w:start="6480" w:hanging="1080"/>
      </w:pPr>
    </w:lvl>
    <w:lvl w:ilvl="6">
      <w:start w:val="1"/>
      <w:numFmt w:val="decimal"/>
      <w:lvlText w:val="%1.%2.%3.%4.%5.%6.%7."/>
      <w:lvlJc w:val="start"/>
      <w:pPr>
        <w:tabs>
          <w:tab w:val="num" w:pos="7920"/>
        </w:tabs>
        <w:ind w:start="7920" w:hanging="1440"/>
      </w:pPr>
    </w:lvl>
    <w:lvl w:ilvl="7">
      <w:start w:val="1"/>
      <w:numFmt w:val="decimal"/>
      <w:lvlText w:val="%1.%2.%3.%4.%5.%6.%7.%8."/>
      <w:lvlJc w:val="start"/>
      <w:pPr>
        <w:tabs>
          <w:tab w:val="num" w:pos="9000"/>
        </w:tabs>
        <w:ind w:start="9000" w:hanging="1440"/>
      </w:pPr>
    </w:lvl>
    <w:lvl w:ilvl="8">
      <w:start w:val="1"/>
      <w:numFmt w:val="decimal"/>
      <w:lvlText w:val="%1.%2.%3.%4.%5.%6.%7.%8.%9."/>
      <w:lvlJc w:val="start"/>
      <w:pPr>
        <w:tabs>
          <w:tab w:val="num" w:pos="10440"/>
        </w:tabs>
        <w:ind w:start="10440" w:hanging="1800"/>
      </w:pPr>
    </w:lvl>
  </w:abstractNum>
  <w:abstractNum w:abstractNumId="7">
    <w:lvl w:ilvl="0">
      <w:start w:val="6"/>
      <w:numFmt w:val="decimal"/>
      <w:lvlText w:val="%1."/>
      <w:lvlJc w:val="start"/>
      <w:pPr>
        <w:tabs>
          <w:tab w:val="num" w:pos="360"/>
        </w:tabs>
        <w:ind w:start="360" w:hanging="360"/>
      </w:pPr>
    </w:lvl>
    <w:lvl w:ilvl="1">
      <w:start w:val="1"/>
      <w:numFmt w:val="decimal"/>
      <w:lvlText w:val="%1.%2."/>
      <w:lvlJc w:val="start"/>
      <w:pPr>
        <w:tabs>
          <w:tab w:val="num" w:pos="1800"/>
        </w:tabs>
        <w:ind w:start="1800" w:hanging="360"/>
      </w:pPr>
    </w:lvl>
    <w:lvl w:ilvl="2">
      <w:start w:val="1"/>
      <w:numFmt w:val="decimal"/>
      <w:lvlText w:val="%1.%2.%3."/>
      <w:lvlJc w:val="start"/>
      <w:pPr>
        <w:tabs>
          <w:tab w:val="num" w:pos="3600"/>
        </w:tabs>
        <w:ind w:start="3600" w:hanging="720"/>
      </w:pPr>
    </w:lvl>
    <w:lvl w:ilvl="3">
      <w:start w:val="1"/>
      <w:numFmt w:val="decimal"/>
      <w:lvlText w:val="%1.%2.%3.%4."/>
      <w:lvlJc w:val="start"/>
      <w:pPr>
        <w:tabs>
          <w:tab w:val="num" w:pos="5040"/>
        </w:tabs>
        <w:ind w:start="5040" w:hanging="720"/>
      </w:pPr>
    </w:lvl>
    <w:lvl w:ilvl="4">
      <w:start w:val="1"/>
      <w:numFmt w:val="decimal"/>
      <w:lvlText w:val="%1.%2.%3.%4.%5."/>
      <w:lvlJc w:val="start"/>
      <w:pPr>
        <w:tabs>
          <w:tab w:val="num" w:pos="6840"/>
        </w:tabs>
        <w:ind w:start="6840" w:hanging="1080"/>
      </w:pPr>
    </w:lvl>
    <w:lvl w:ilvl="5">
      <w:start w:val="1"/>
      <w:numFmt w:val="decimal"/>
      <w:lvlText w:val="%1.%2.%3.%4.%5.%6."/>
      <w:lvlJc w:val="start"/>
      <w:pPr>
        <w:tabs>
          <w:tab w:val="num" w:pos="8280"/>
        </w:tabs>
        <w:ind w:start="8280" w:hanging="1080"/>
      </w:pPr>
    </w:lvl>
    <w:lvl w:ilvl="6">
      <w:start w:val="1"/>
      <w:numFmt w:val="decimal"/>
      <w:lvlText w:val="%1.%2.%3.%4.%5.%6.%7."/>
      <w:lvlJc w:val="start"/>
      <w:pPr>
        <w:tabs>
          <w:tab w:val="num" w:pos="10080"/>
        </w:tabs>
        <w:ind w:start="10080" w:hanging="1440"/>
      </w:pPr>
    </w:lvl>
    <w:lvl w:ilvl="7">
      <w:start w:val="1"/>
      <w:numFmt w:val="decimal"/>
      <w:lvlText w:val="%1.%2.%3.%4.%5.%6.%7.%8."/>
      <w:lvlJc w:val="start"/>
      <w:pPr>
        <w:tabs>
          <w:tab w:val="num" w:pos="11520"/>
        </w:tabs>
        <w:ind w:start="11520" w:hanging="1440"/>
      </w:pPr>
    </w:lvl>
    <w:lvl w:ilvl="8">
      <w:start w:val="1"/>
      <w:numFmt w:val="decimal"/>
      <w:lvlText w:val="%1.%2.%3.%4.%5.%6.%7.%8.%9."/>
      <w:lvlJc w:val="start"/>
      <w:pPr>
        <w:tabs>
          <w:tab w:val="num" w:pos="13320"/>
        </w:tabs>
        <w:ind w:start="13320" w:hanging="1800"/>
      </w:pPr>
    </w:lvl>
  </w:abstractNum>
  <w:abstractNum w:abstractNumId="8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10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11">
    <w:lvl w:ilvl="0">
      <w:start w:val="1"/>
      <w:numFmt w:val="lowerLetter"/>
      <w:suff w:val="nothing"/>
      <w:lvlText w:val="%1)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nothing"/>
      <w:lvlText w:val="%2."/>
      <w:lvlJc w:val="start"/>
      <w:pPr>
        <w:tabs>
          <w:tab w:val="num" w:pos="0"/>
        </w:tabs>
        <w:ind w:start="0" w:hanging="0"/>
      </w:pPr>
    </w:lvl>
    <w:lvl w:ilvl="2">
      <w:start w:val="1"/>
      <w:numFmt w:val="lowerRoman"/>
      <w:suff w:val="nothing"/>
      <w:lvlText w:val="%3."/>
      <w:lvlJc w:val="end"/>
      <w:pPr>
        <w:tabs>
          <w:tab w:val="num" w:pos="0"/>
        </w:tabs>
        <w:ind w:start="0" w:hanging="0"/>
      </w:pPr>
    </w:lvl>
    <w:lvl w:ilvl="3">
      <w:start w:val="1"/>
      <w:numFmt w:val="decimal"/>
      <w:suff w:val="nothing"/>
      <w:lvlText w:val="%4."/>
      <w:lvlJc w:val="start"/>
      <w:pPr>
        <w:tabs>
          <w:tab w:val="num" w:pos="0"/>
        </w:tabs>
        <w:ind w:start="0" w:hanging="0"/>
      </w:pPr>
    </w:lvl>
    <w:lvl w:ilvl="4">
      <w:start w:val="1"/>
      <w:numFmt w:val="lowerLetter"/>
      <w:suff w:val="nothing"/>
      <w:lvlText w:val="%5."/>
      <w:lvlJc w:val="start"/>
      <w:pPr>
        <w:tabs>
          <w:tab w:val="num" w:pos="0"/>
        </w:tabs>
        <w:ind w:start="0" w:hanging="0"/>
      </w:pPr>
    </w:lvl>
    <w:lvl w:ilvl="5">
      <w:start w:val="1"/>
      <w:numFmt w:val="lowerRoman"/>
      <w:suff w:val="nothing"/>
      <w:lvlText w:val="%6."/>
      <w:lvlJc w:val="end"/>
      <w:pPr>
        <w:tabs>
          <w:tab w:val="num" w:pos="0"/>
        </w:tabs>
        <w:ind w:start="0" w:hanging="0"/>
      </w:pPr>
    </w:lvl>
    <w:lvl w:ilvl="6">
      <w:start w:val="1"/>
      <w:numFmt w:val="decimal"/>
      <w:suff w:val="nothing"/>
      <w:lvlText w:val="%7."/>
      <w:lvlJc w:val="start"/>
      <w:pPr>
        <w:tabs>
          <w:tab w:val="num" w:pos="0"/>
        </w:tabs>
        <w:ind w:start="0" w:hanging="0"/>
      </w:pPr>
    </w:lvl>
    <w:lvl w:ilvl="7">
      <w:start w:val="1"/>
      <w:numFmt w:val="lowerLetter"/>
      <w:suff w:val="nothing"/>
      <w:lvlText w:val="%8."/>
      <w:lvlJc w:val="start"/>
      <w:pPr>
        <w:tabs>
          <w:tab w:val="num" w:pos="0"/>
        </w:tabs>
        <w:ind w:start="0" w:hanging="0"/>
      </w:pPr>
    </w:lvl>
    <w:lvl w:ilvl="8">
      <w:start w:val="1"/>
      <w:numFmt w:val="lowerRoman"/>
      <w:suff w:val="nothing"/>
      <w:lvlText w:val="%9."/>
      <w:lvlJc w:val="end"/>
      <w:pPr>
        <w:tabs>
          <w:tab w:val="num" w:pos="0"/>
        </w:tabs>
        <w:ind w:start="0" w:hanging="0"/>
      </w:pPr>
    </w:lvl>
  </w:abstractNum>
  <w:abstractNum w:abstractNumId="12">
    <w:lvl w:ilvl="0">
      <w:start w:val="1"/>
      <w:numFmt w:val="lowerLetter"/>
      <w:suff w:val="nothing"/>
      <w:lvlText w:val="%1)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nothing"/>
      <w:lvlText w:val="%2."/>
      <w:lvlJc w:val="start"/>
      <w:pPr>
        <w:tabs>
          <w:tab w:val="num" w:pos="0"/>
        </w:tabs>
        <w:ind w:start="0" w:hanging="0"/>
      </w:pPr>
    </w:lvl>
    <w:lvl w:ilvl="2">
      <w:start w:val="1"/>
      <w:numFmt w:val="lowerRoman"/>
      <w:suff w:val="nothing"/>
      <w:lvlText w:val="%3."/>
      <w:lvlJc w:val="end"/>
      <w:pPr>
        <w:tabs>
          <w:tab w:val="num" w:pos="0"/>
        </w:tabs>
        <w:ind w:start="0" w:hanging="0"/>
      </w:pPr>
    </w:lvl>
    <w:lvl w:ilvl="3">
      <w:start w:val="1"/>
      <w:numFmt w:val="decimal"/>
      <w:suff w:val="nothing"/>
      <w:lvlText w:val="%4."/>
      <w:lvlJc w:val="start"/>
      <w:pPr>
        <w:tabs>
          <w:tab w:val="num" w:pos="0"/>
        </w:tabs>
        <w:ind w:start="0" w:hanging="0"/>
      </w:pPr>
    </w:lvl>
    <w:lvl w:ilvl="4">
      <w:start w:val="1"/>
      <w:numFmt w:val="lowerLetter"/>
      <w:suff w:val="nothing"/>
      <w:lvlText w:val="%5."/>
      <w:lvlJc w:val="start"/>
      <w:pPr>
        <w:tabs>
          <w:tab w:val="num" w:pos="0"/>
        </w:tabs>
        <w:ind w:start="0" w:hanging="0"/>
      </w:pPr>
    </w:lvl>
    <w:lvl w:ilvl="5">
      <w:start w:val="1"/>
      <w:numFmt w:val="lowerRoman"/>
      <w:suff w:val="nothing"/>
      <w:lvlText w:val="%6."/>
      <w:lvlJc w:val="end"/>
      <w:pPr>
        <w:tabs>
          <w:tab w:val="num" w:pos="0"/>
        </w:tabs>
        <w:ind w:start="0" w:hanging="0"/>
      </w:pPr>
    </w:lvl>
    <w:lvl w:ilvl="6">
      <w:start w:val="1"/>
      <w:numFmt w:val="decimal"/>
      <w:suff w:val="nothing"/>
      <w:lvlText w:val="%7."/>
      <w:lvlJc w:val="start"/>
      <w:pPr>
        <w:tabs>
          <w:tab w:val="num" w:pos="0"/>
        </w:tabs>
        <w:ind w:start="0" w:hanging="0"/>
      </w:pPr>
    </w:lvl>
    <w:lvl w:ilvl="7">
      <w:start w:val="1"/>
      <w:numFmt w:val="lowerLetter"/>
      <w:suff w:val="nothing"/>
      <w:lvlText w:val="%8."/>
      <w:lvlJc w:val="start"/>
      <w:pPr>
        <w:tabs>
          <w:tab w:val="num" w:pos="0"/>
        </w:tabs>
        <w:ind w:start="0" w:hanging="0"/>
      </w:pPr>
    </w:lvl>
    <w:lvl w:ilvl="8">
      <w:start w:val="1"/>
      <w:numFmt w:val="lowerRoman"/>
      <w:suff w:val="nothing"/>
      <w:lvlText w:val="%9."/>
      <w:lvlJc w:val="end"/>
      <w:pPr>
        <w:tabs>
          <w:tab w:val="num" w:pos="0"/>
        </w:tabs>
        <w:ind w:start="0" w:hanging="0"/>
      </w:pPr>
    </w:lvl>
  </w:abstractNum>
  <w:abstractNum w:abstractNumId="13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1"/>
    <w:lvlOverride w:ilvl="0">
      <w:startOverride w:val="1"/>
    </w:lvlOverride>
  </w:num>
  <w:num w:numId="15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spacing w:before="240" w:after="120"/>
      <w:outlineLvl w:val="0"/>
    </w:pPr>
    <w:rPr>
      <w:rFonts w:ascii="Liberation Serif" w:hAnsi="Liberation Serif" w:eastAsia="NSimSun" w:cs="Lucida Sans"/>
      <w:b/>
      <w:bCs/>
      <w:sz w:val="48"/>
      <w:szCs w:val="48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uppressAutoHyphens w:val="true"/>
      <w:spacing w:before="240" w:after="60"/>
      <w:outlineLvl w:val="3"/>
    </w:pPr>
    <w:rPr>
      <w:b/>
      <w:bCs/>
      <w:sz w:val="28"/>
      <w:szCs w:val="28"/>
    </w:rPr>
  </w:style>
  <w:style w:type="character" w:styleId="Wyrnienie">
    <w:name w:val="Wyróżnienie"/>
    <w:qFormat/>
    <w:rPr>
      <w:i/>
      <w:iCs/>
    </w:rPr>
  </w:style>
  <w:style w:type="character" w:styleId="Domylnaczcionkaakapitu">
    <w:name w:val="Domyślna czcionka akapitu"/>
    <w:qFormat/>
    <w:rPr/>
  </w:style>
  <w:style w:type="character" w:styleId="Markedcontent">
    <w:name w:val="markedcontent"/>
    <w:basedOn w:val="Domylnaczcionkaakapitu"/>
    <w:qFormat/>
    <w:rPr/>
  </w:style>
  <w:style w:type="character" w:styleId="WWCharLFO55LVL1">
    <w:name w:val="WW_CharLFO55LVL1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36LVL1">
    <w:name w:val="WW_CharLFO36LVL1"/>
    <w:qFormat/>
    <w:rPr>
      <w:rFonts w:ascii="Times New Roman" w:hAnsi="Times New Roman" w:eastAsia="Times New Roman" w:cs="Times New Roman"/>
    </w:rPr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  <w:spacing w:before="180" w:after="180"/>
    </w:pPr>
    <w:rPr>
      <w:rFonts w:eastAsia="Times New Roman"/>
    </w:rPr>
  </w:style>
  <w:style w:type="paragraph" w:styleId="Zawartotabeli">
    <w:name w:val="Zawartość tabeli"/>
    <w:basedOn w:val="Normal"/>
    <w:qFormat/>
    <w:pPr>
      <w:widowControl w:val="false"/>
      <w:suppressLineNumbers/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lineRule="auto" w:line="276" w:before="0" w:after="200"/>
      <w:ind w:start="720" w:end="0" w:hanging="0"/>
    </w:pPr>
    <w:rPr>
      <w:rFonts w:ascii="Calibri" w:hAnsi="Calibri" w:cs="Calibri"/>
      <w:sz w:val="22"/>
      <w:szCs w:val="22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Lucida Sans Unicode" w:cs="Tahoma"/>
      <w:color w:val="auto"/>
      <w:kern w:val="2"/>
      <w:sz w:val="24"/>
      <w:szCs w:val="24"/>
      <w:lang w:val="pl-PL" w:eastAsia="zh-CN" w:bidi="ar-SA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36">
    <w:name w:val="WW8Num3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495</TotalTime>
  <Application>LibreOffice/7.2.1.2$Windows_X86_64 LibreOffice_project/87b77fad49947c1441b67c559c339af8f3517e22</Application>
  <AppVersion>15.0000</AppVersion>
  <Pages>3</Pages>
  <Words>787</Words>
  <Characters>4473</Characters>
  <CharactersWithSpaces>5150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2026-03-04T13:51:32Z</cp:lastPrinted>
  <dcterms:modified xsi:type="dcterms:W3CDTF">2026-04-28T11:24:43Z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